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AC5B35" w:rsidP="00E775B0">
      <w:r>
        <w:rPr>
          <w:noProof/>
          <w:lang w:eastAsia="en-AU"/>
        </w:rPr>
        <w:drawing>
          <wp:inline distT="0" distB="0" distL="0" distR="0" wp14:anchorId="6F3F81A9" wp14:editId="725E22CF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9A2" w:rsidRDefault="005868E8" w:rsidP="002009A2">
      <w:pPr>
        <w:pStyle w:val="Heading1"/>
      </w:pPr>
      <w:r>
        <w:t>Reporting</w:t>
      </w:r>
      <w:r w:rsidR="004E7B52">
        <w:t xml:space="preserve"> Drug Dependent and Oversupplied Persons</w:t>
      </w:r>
    </w:p>
    <w:p w:rsidR="002009A2" w:rsidRDefault="002009A2" w:rsidP="002009A2">
      <w:r w:rsidRPr="00BD1884">
        <w:t xml:space="preserve">The </w:t>
      </w:r>
      <w:r w:rsidRPr="002009A2">
        <w:rPr>
          <w:i/>
        </w:rPr>
        <w:t>Medicines and Poisons Act 2014</w:t>
      </w:r>
      <w:r w:rsidRPr="00BD1884">
        <w:t xml:space="preserve"> requires a health professional </w:t>
      </w:r>
      <w:r>
        <w:t xml:space="preserve">to </w:t>
      </w:r>
      <w:r w:rsidRPr="00BD1884">
        <w:t xml:space="preserve">notify the </w:t>
      </w:r>
      <w:r>
        <w:t xml:space="preserve">Chief Executive Officer (CEO) of the </w:t>
      </w:r>
      <w:r w:rsidRPr="00BD1884">
        <w:t>Department of Health within 48 hours</w:t>
      </w:r>
      <w:r>
        <w:t>,</w:t>
      </w:r>
      <w:r w:rsidRPr="00BD1884">
        <w:t xml:space="preserve"> whe</w:t>
      </w:r>
      <w:r>
        <w:t>re</w:t>
      </w:r>
      <w:r w:rsidRPr="00BD1884">
        <w:t xml:space="preserve"> they reasonably believe a person is drug dependent</w:t>
      </w:r>
      <w:r>
        <w:t xml:space="preserve"> or oversupplied. Reports are made by completing the approved </w:t>
      </w:r>
      <w:r w:rsidR="005868E8">
        <w:t>Reporting a Drug Dependent Person or Reporting an Oversupplied Person form</w:t>
      </w:r>
      <w:r w:rsidRPr="00BD1884">
        <w:t>.</w:t>
      </w:r>
    </w:p>
    <w:p w:rsidR="002009A2" w:rsidRPr="00BB20F3" w:rsidRDefault="002009A2" w:rsidP="002009A2">
      <w:pPr>
        <w:rPr>
          <w:spacing w:val="-3"/>
        </w:rPr>
      </w:pPr>
      <w:r>
        <w:rPr>
          <w:spacing w:val="-3"/>
        </w:rPr>
        <w:t xml:space="preserve">Patients entering treatment for dependency through the Community Program for Opioid Pharmacotherapy (CPOP) or undergoing </w:t>
      </w:r>
      <w:r w:rsidRPr="00BB20F3">
        <w:rPr>
          <w:rFonts w:eastAsia="Times New Roman"/>
          <w:color w:val="2D2D2D"/>
          <w:lang w:eastAsia="en-AU"/>
        </w:rPr>
        <w:t xml:space="preserve">detoxification treatment </w:t>
      </w:r>
      <w:r>
        <w:rPr>
          <w:rFonts w:eastAsia="Times New Roman"/>
          <w:color w:val="2D2D2D"/>
          <w:lang w:eastAsia="en-AU"/>
        </w:rPr>
        <w:t xml:space="preserve">with opioids </w:t>
      </w:r>
      <w:r w:rsidRPr="00BB20F3">
        <w:rPr>
          <w:rFonts w:eastAsia="Times New Roman"/>
          <w:color w:val="2D2D2D"/>
          <w:lang w:eastAsia="en-AU"/>
        </w:rPr>
        <w:t>for drug dependence</w:t>
      </w:r>
      <w:r w:rsidRPr="00BB20F3">
        <w:rPr>
          <w:spacing w:val="-3"/>
        </w:rPr>
        <w:t xml:space="preserve"> are </w:t>
      </w:r>
      <w:r w:rsidR="005868E8" w:rsidRPr="00BB20F3">
        <w:rPr>
          <w:spacing w:val="-3"/>
        </w:rPr>
        <w:t>a</w:t>
      </w:r>
      <w:r w:rsidR="005868E8">
        <w:rPr>
          <w:spacing w:val="-3"/>
        </w:rPr>
        <w:t>utomatically</w:t>
      </w:r>
      <w:r w:rsidR="005868E8" w:rsidRPr="00BB20F3">
        <w:rPr>
          <w:spacing w:val="-3"/>
        </w:rPr>
        <w:t xml:space="preserve"> </w:t>
      </w:r>
      <w:r w:rsidRPr="00BB20F3">
        <w:rPr>
          <w:spacing w:val="-3"/>
        </w:rPr>
        <w:t xml:space="preserve">included on the </w:t>
      </w:r>
      <w:r>
        <w:rPr>
          <w:spacing w:val="-3"/>
        </w:rPr>
        <w:t>R</w:t>
      </w:r>
      <w:r w:rsidRPr="00BB20F3">
        <w:rPr>
          <w:spacing w:val="-3"/>
        </w:rPr>
        <w:t>ecord.</w:t>
      </w:r>
    </w:p>
    <w:p w:rsidR="002009A2" w:rsidRPr="002634FA" w:rsidRDefault="002009A2" w:rsidP="002009A2">
      <w:pPr>
        <w:pStyle w:val="Heading2"/>
      </w:pPr>
      <w:r w:rsidRPr="002634FA">
        <w:t>Definition</w:t>
      </w:r>
      <w:r>
        <w:t>s</w:t>
      </w:r>
    </w:p>
    <w:p w:rsidR="002009A2" w:rsidRDefault="002009A2" w:rsidP="002009A2">
      <w:r w:rsidRPr="00BD1884">
        <w:rPr>
          <w:b/>
          <w:bCs/>
        </w:rPr>
        <w:t xml:space="preserve">Drug dependent person </w:t>
      </w:r>
      <w:r w:rsidRPr="00BD1884">
        <w:t xml:space="preserve">refers to a person who has acquired, as a result of repeated administration of drugs of addiction </w:t>
      </w:r>
      <w:r>
        <w:t>(</w:t>
      </w:r>
      <w:r w:rsidRPr="00BD1884">
        <w:t xml:space="preserve">Schedule 8 </w:t>
      </w:r>
      <w:r>
        <w:t>medicine)</w:t>
      </w:r>
      <w:r w:rsidRPr="00BD1884">
        <w:t xml:space="preserve"> or Schedule 9 poisons, an overpowering desire for the continued administration of a drug of addiction or a Schedule 9 poison</w:t>
      </w:r>
      <w:r w:rsidR="008224AC">
        <w:t>.</w:t>
      </w:r>
    </w:p>
    <w:p w:rsidR="002009A2" w:rsidRDefault="002009A2" w:rsidP="002009A2">
      <w:r w:rsidRPr="00845816">
        <w:rPr>
          <w:rStyle w:val="CharDefText"/>
          <w:rFonts w:cs="Arial"/>
          <w:i w:val="0"/>
          <w:szCs w:val="24"/>
        </w:rPr>
        <w:t>Oversupplied person</w:t>
      </w:r>
      <w:r w:rsidRPr="00BD1884">
        <w:t xml:space="preserve"> refers to a person who has over a period of time obtained, or obtained prescriptions for, quantities of drugs of addiction </w:t>
      </w:r>
      <w:r w:rsidRPr="007C63FB">
        <w:t>(Schedule 8</w:t>
      </w:r>
      <w:r w:rsidR="00D51596" w:rsidRPr="007C63FB">
        <w:t xml:space="preserve"> </w:t>
      </w:r>
      <w:r w:rsidRPr="007C63FB">
        <w:t>medicine)</w:t>
      </w:r>
      <w:r w:rsidRPr="00BD1884">
        <w:rPr>
          <w:i/>
        </w:rPr>
        <w:t xml:space="preserve"> </w:t>
      </w:r>
      <w:r w:rsidRPr="00BD1884">
        <w:t>that are greater than is reasonably necessary for therapeutic use</w:t>
      </w:r>
      <w:r w:rsidR="008224AC">
        <w:t>.</w:t>
      </w:r>
    </w:p>
    <w:p w:rsidR="005868E8" w:rsidRPr="00D90FD7" w:rsidRDefault="005868E8" w:rsidP="005868E8">
      <w:pPr>
        <w:pStyle w:val="Heading2"/>
      </w:pPr>
      <w:r w:rsidRPr="00D90FD7">
        <w:t>Criteria for a drug dependent person</w:t>
      </w:r>
    </w:p>
    <w:p w:rsidR="005868E8" w:rsidRDefault="005868E8" w:rsidP="005868E8">
      <w:r>
        <w:t>A person</w:t>
      </w:r>
      <w:r w:rsidRPr="002634FA">
        <w:t xml:space="preserve"> </w:t>
      </w:r>
      <w:r>
        <w:t>may be drug dependent when they:</w:t>
      </w:r>
    </w:p>
    <w:p w:rsidR="005868E8" w:rsidRDefault="005868E8" w:rsidP="005868E8">
      <w:pPr>
        <w:pStyle w:val="ListParagraph"/>
        <w:numPr>
          <w:ilvl w:val="0"/>
          <w:numId w:val="13"/>
        </w:numPr>
      </w:pPr>
      <w:r>
        <w:t>undertake regular use of illicit drugs or misuse of pharmaceutical drugs;</w:t>
      </w:r>
    </w:p>
    <w:p w:rsidR="005868E8" w:rsidRDefault="005868E8" w:rsidP="005868E8">
      <w:pPr>
        <w:pStyle w:val="ListParagraph"/>
        <w:numPr>
          <w:ilvl w:val="0"/>
          <w:numId w:val="13"/>
        </w:numPr>
      </w:pPr>
      <w:r>
        <w:t>describe cravings or strong desires to use these substances;</w:t>
      </w:r>
    </w:p>
    <w:p w:rsidR="005868E8" w:rsidRDefault="005868E8" w:rsidP="005868E8">
      <w:pPr>
        <w:pStyle w:val="ListParagraph"/>
        <w:numPr>
          <w:ilvl w:val="0"/>
          <w:numId w:val="14"/>
        </w:numPr>
      </w:pPr>
      <w:r>
        <w:t>require increased amounts of these substances to satisfy cravings or create desired effect;</w:t>
      </w:r>
      <w:r w:rsidRPr="005868E8">
        <w:t xml:space="preserve"> </w:t>
      </w:r>
    </w:p>
    <w:p w:rsidR="005868E8" w:rsidRDefault="005868E8" w:rsidP="005868E8">
      <w:pPr>
        <w:pStyle w:val="ListParagraph"/>
        <w:numPr>
          <w:ilvl w:val="0"/>
          <w:numId w:val="14"/>
        </w:numPr>
      </w:pPr>
      <w:r>
        <w:t>escalate doses without endorsement or seek additional prescriptions without informing the primary prescriber;</w:t>
      </w:r>
    </w:p>
    <w:p w:rsidR="005868E8" w:rsidRDefault="005868E8" w:rsidP="005868E8">
      <w:pPr>
        <w:pStyle w:val="ListParagraph"/>
        <w:numPr>
          <w:ilvl w:val="0"/>
          <w:numId w:val="14"/>
        </w:numPr>
      </w:pPr>
      <w:r>
        <w:t>exhibit withdrawal symptoms or signs of intoxication;</w:t>
      </w:r>
    </w:p>
    <w:p w:rsidR="005868E8" w:rsidRDefault="005868E8" w:rsidP="005868E8">
      <w:pPr>
        <w:pStyle w:val="ListParagraph"/>
        <w:numPr>
          <w:ilvl w:val="0"/>
          <w:numId w:val="14"/>
        </w:numPr>
      </w:pPr>
      <w:r>
        <w:t>display physical signs of damage from administering a drug, such as track marks;</w:t>
      </w:r>
    </w:p>
    <w:p w:rsidR="005868E8" w:rsidRDefault="005868E8" w:rsidP="005868E8">
      <w:pPr>
        <w:pStyle w:val="ListParagraph"/>
        <w:numPr>
          <w:ilvl w:val="0"/>
          <w:numId w:val="13"/>
        </w:numPr>
      </w:pPr>
      <w:r>
        <w:t>experience social, occupational or physical problems associated with the use of these substances</w:t>
      </w:r>
    </w:p>
    <w:p w:rsidR="005868E8" w:rsidRDefault="005868E8" w:rsidP="005868E8">
      <w:pPr>
        <w:pStyle w:val="ListParagraph"/>
        <w:numPr>
          <w:ilvl w:val="0"/>
          <w:numId w:val="14"/>
        </w:numPr>
      </w:pPr>
      <w:r>
        <w:t>experience a deterioration in function at work or home caused by the misuse of prescription or illicit drugs;</w:t>
      </w:r>
    </w:p>
    <w:p w:rsidR="005868E8" w:rsidRDefault="005868E8" w:rsidP="005868E8">
      <w:pPr>
        <w:pStyle w:val="ListParagraph"/>
        <w:numPr>
          <w:ilvl w:val="0"/>
          <w:numId w:val="14"/>
        </w:numPr>
      </w:pPr>
      <w:r>
        <w:t xml:space="preserve">provide a urine drug screen that shows a positive result for illicit drugs or medicines that are not prescribed.  </w:t>
      </w:r>
    </w:p>
    <w:p w:rsidR="005868E8" w:rsidRDefault="005868E8" w:rsidP="005868E8">
      <w:r>
        <w:t>Refer to the Diagnostic and Statistical Manual of Mental Disorders – 5</w:t>
      </w:r>
      <w:r w:rsidRPr="00557389">
        <w:rPr>
          <w:vertAlign w:val="superscript"/>
        </w:rPr>
        <w:t>th</w:t>
      </w:r>
      <w:r>
        <w:t xml:space="preserve"> Edition (DSM-5) for further information around the clinical diagnosis of dependence.</w:t>
      </w:r>
    </w:p>
    <w:p w:rsidR="007C63FB" w:rsidRDefault="007C63FB">
      <w:pPr>
        <w:spacing w:after="0"/>
        <w:rPr>
          <w:rFonts w:eastAsia="Times New Roman"/>
          <w:b/>
          <w:bCs/>
          <w:color w:val="1B2C5B"/>
          <w:sz w:val="30"/>
          <w:szCs w:val="26"/>
        </w:rPr>
      </w:pPr>
      <w:r>
        <w:br w:type="page"/>
      </w:r>
    </w:p>
    <w:p w:rsidR="002009A2" w:rsidRDefault="002009A2" w:rsidP="002009A2">
      <w:pPr>
        <w:pStyle w:val="Heading2"/>
      </w:pPr>
      <w:r>
        <w:lastRenderedPageBreak/>
        <w:t>Criteria for an oversupplied person</w:t>
      </w:r>
    </w:p>
    <w:p w:rsidR="002009A2" w:rsidRDefault="005868E8" w:rsidP="002009A2">
      <w:r>
        <w:t>A</w:t>
      </w:r>
      <w:r w:rsidR="002009A2">
        <w:t xml:space="preserve"> person</w:t>
      </w:r>
      <w:r w:rsidR="002009A2" w:rsidRPr="002634FA">
        <w:t xml:space="preserve"> </w:t>
      </w:r>
      <w:r w:rsidR="002009A2">
        <w:t>may be oversupplied when they:</w:t>
      </w:r>
      <w:r w:rsidR="002009A2" w:rsidRPr="002634FA">
        <w:t xml:space="preserve"> </w:t>
      </w:r>
    </w:p>
    <w:p w:rsidR="002009A2" w:rsidRPr="0061140A" w:rsidRDefault="002009A2" w:rsidP="002009A2">
      <w:pPr>
        <w:pStyle w:val="ListParagraph"/>
        <w:numPr>
          <w:ilvl w:val="0"/>
          <w:numId w:val="12"/>
        </w:numPr>
      </w:pPr>
      <w:r w:rsidRPr="0061140A">
        <w:t xml:space="preserve">appear to </w:t>
      </w:r>
      <w:r w:rsidRPr="002009A2">
        <w:t>doctor shop</w:t>
      </w:r>
      <w:r>
        <w:t>,</w:t>
      </w:r>
      <w:r w:rsidRPr="002009A2">
        <w:t xml:space="preserve"> </w:t>
      </w:r>
      <w:r w:rsidRPr="0061140A">
        <w:t>ha</w:t>
      </w:r>
      <w:r>
        <w:t>ve</w:t>
      </w:r>
      <w:r w:rsidRPr="0061140A">
        <w:t xml:space="preserve"> attended multiple prescribers and medical practices</w:t>
      </w:r>
      <w:r>
        <w:t>,</w:t>
      </w:r>
      <w:r w:rsidRPr="0061140A">
        <w:t xml:space="preserve"> </w:t>
      </w:r>
      <w:r>
        <w:t xml:space="preserve">or </w:t>
      </w:r>
      <w:r w:rsidRPr="0061140A">
        <w:t>obtained an excessive number of prescriptions</w:t>
      </w:r>
      <w:r>
        <w:t xml:space="preserve">; </w:t>
      </w:r>
    </w:p>
    <w:p w:rsidR="002009A2" w:rsidRDefault="002009A2" w:rsidP="002009A2">
      <w:pPr>
        <w:pStyle w:val="ListParagraph"/>
        <w:numPr>
          <w:ilvl w:val="0"/>
          <w:numId w:val="12"/>
        </w:numPr>
      </w:pPr>
      <w:r>
        <w:t>are</w:t>
      </w:r>
      <w:r w:rsidRPr="006E7B56">
        <w:t xml:space="preserve"> </w:t>
      </w:r>
      <w:r>
        <w:t xml:space="preserve">found (or alleged) to be </w:t>
      </w:r>
      <w:r w:rsidRPr="006E7B56">
        <w:t>selling or diver</w:t>
      </w:r>
      <w:r>
        <w:t xml:space="preserve">ting </w:t>
      </w:r>
      <w:r w:rsidRPr="006E7B56">
        <w:t>medicines</w:t>
      </w:r>
      <w:r>
        <w:t>; and / or</w:t>
      </w:r>
    </w:p>
    <w:p w:rsidR="002009A2" w:rsidRPr="006E7B56" w:rsidRDefault="002009A2" w:rsidP="002009A2">
      <w:pPr>
        <w:pStyle w:val="ListParagraph"/>
        <w:numPr>
          <w:ilvl w:val="0"/>
          <w:numId w:val="12"/>
        </w:numPr>
      </w:pPr>
      <w:r>
        <w:t xml:space="preserve">have </w:t>
      </w:r>
      <w:r w:rsidRPr="006E7B56">
        <w:t>forg</w:t>
      </w:r>
      <w:r>
        <w:t>ed</w:t>
      </w:r>
      <w:r w:rsidRPr="006E7B56">
        <w:t xml:space="preserve"> prescriptions </w:t>
      </w:r>
      <w:r>
        <w:t>or used false pretences to obtain prescriptions</w:t>
      </w:r>
      <w:r w:rsidRPr="006E7B56">
        <w:t>.</w:t>
      </w:r>
    </w:p>
    <w:p w:rsidR="002009A2" w:rsidRPr="002009A2" w:rsidRDefault="005868E8" w:rsidP="002009A2">
      <w:pPr>
        <w:pStyle w:val="Heading2"/>
      </w:pPr>
      <w:r>
        <w:t>How to report</w:t>
      </w:r>
    </w:p>
    <w:p w:rsidR="005868E8" w:rsidRDefault="005868E8" w:rsidP="002009A2">
      <w:r>
        <w:rPr>
          <w:rFonts w:cs="Arial"/>
          <w:szCs w:val="24"/>
        </w:rPr>
        <w:t xml:space="preserve">A report is made by completing the </w:t>
      </w:r>
      <w:r>
        <w:t>approved Reporting a Drug Dependent Person or Reporting an Oversupplied Person form</w:t>
      </w:r>
      <w:r w:rsidRPr="00BD1884">
        <w:t>.</w:t>
      </w:r>
    </w:p>
    <w:p w:rsidR="002009A2" w:rsidRDefault="002009A2" w:rsidP="002009A2">
      <w:pPr>
        <w:rPr>
          <w:rFonts w:cs="Arial"/>
          <w:szCs w:val="24"/>
        </w:rPr>
      </w:pPr>
      <w:r>
        <w:rPr>
          <w:rFonts w:cs="Arial"/>
          <w:szCs w:val="24"/>
        </w:rPr>
        <w:t>Practitioners making a report are encour</w:t>
      </w:r>
      <w:bookmarkStart w:id="0" w:name="_GoBack"/>
      <w:bookmarkEnd w:id="0"/>
      <w:r>
        <w:rPr>
          <w:rFonts w:cs="Arial"/>
          <w:szCs w:val="24"/>
        </w:rPr>
        <w:t xml:space="preserve">aged to discuss this with the person and provide the </w:t>
      </w:r>
      <w:r w:rsidR="005868E8">
        <w:rPr>
          <w:rFonts w:cs="Arial"/>
          <w:szCs w:val="24"/>
        </w:rPr>
        <w:t xml:space="preserve">person with the </w:t>
      </w:r>
      <w:r>
        <w:rPr>
          <w:rFonts w:cs="Arial"/>
          <w:szCs w:val="24"/>
        </w:rPr>
        <w:t>Department of Health patient information leaflet</w:t>
      </w:r>
      <w:r w:rsidR="005868E8">
        <w:rPr>
          <w:rFonts w:cs="Arial"/>
          <w:szCs w:val="24"/>
        </w:rPr>
        <w:t>, “</w:t>
      </w:r>
      <w:r w:rsidR="005868E8">
        <w:t xml:space="preserve">Reporting a Drug Dependent Person” or “Reporting an Oversupplied Person”. </w:t>
      </w:r>
      <w:r w:rsidR="005868E8">
        <w:rPr>
          <w:rFonts w:cs="Arial"/>
          <w:szCs w:val="24"/>
        </w:rPr>
        <w:t>The</w:t>
      </w:r>
      <w:r>
        <w:rPr>
          <w:rFonts w:cs="Arial"/>
          <w:szCs w:val="24"/>
        </w:rPr>
        <w:t xml:space="preserve"> person should sig</w:t>
      </w:r>
      <w:r w:rsidR="00B37095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 the acknowledgement section </w:t>
      </w:r>
      <w:r w:rsidR="00B37095">
        <w:rPr>
          <w:rFonts w:cs="Arial"/>
          <w:szCs w:val="24"/>
        </w:rPr>
        <w:t>on</w:t>
      </w:r>
      <w:r>
        <w:rPr>
          <w:rFonts w:cs="Arial"/>
          <w:szCs w:val="24"/>
        </w:rPr>
        <w:t xml:space="preserve"> the report form. </w:t>
      </w:r>
    </w:p>
    <w:p w:rsidR="002009A2" w:rsidRDefault="002009A2" w:rsidP="002009A2">
      <w:pPr>
        <w:rPr>
          <w:rFonts w:cs="Arial"/>
          <w:szCs w:val="24"/>
        </w:rPr>
      </w:pPr>
      <w:r>
        <w:rPr>
          <w:rFonts w:cs="Arial"/>
          <w:szCs w:val="24"/>
        </w:rPr>
        <w:t xml:space="preserve">Where the patient acknowledgement is not signed, the Department of Health will make contact </w:t>
      </w:r>
      <w:r w:rsidR="007C63FB">
        <w:rPr>
          <w:rFonts w:cs="Arial"/>
          <w:szCs w:val="24"/>
        </w:rPr>
        <w:t xml:space="preserve">with the person </w:t>
      </w:r>
      <w:r>
        <w:rPr>
          <w:rFonts w:cs="Arial"/>
          <w:szCs w:val="24"/>
        </w:rPr>
        <w:t>advising of the</w:t>
      </w:r>
      <w:r w:rsidR="007C63FB">
        <w:rPr>
          <w:rFonts w:cs="Arial"/>
          <w:szCs w:val="24"/>
        </w:rPr>
        <w:t xml:space="preserve"> receipt of the</w:t>
      </w:r>
      <w:r>
        <w:rPr>
          <w:rFonts w:cs="Arial"/>
          <w:szCs w:val="24"/>
        </w:rPr>
        <w:t xml:space="preserve"> report and providing opportunity to show why the</w:t>
      </w:r>
      <w:r w:rsidR="007C63FB">
        <w:rPr>
          <w:rFonts w:cs="Arial"/>
          <w:szCs w:val="24"/>
        </w:rPr>
        <w:t xml:space="preserve"> person</w:t>
      </w:r>
      <w:r>
        <w:rPr>
          <w:rFonts w:cs="Arial"/>
          <w:szCs w:val="24"/>
        </w:rPr>
        <w:t xml:space="preserve"> should not be included on the Record. The </w:t>
      </w:r>
      <w:r w:rsidR="007C63FB">
        <w:rPr>
          <w:rFonts w:cs="Arial"/>
          <w:szCs w:val="24"/>
        </w:rPr>
        <w:t xml:space="preserve">source </w:t>
      </w:r>
      <w:r>
        <w:rPr>
          <w:rFonts w:cs="Arial"/>
          <w:szCs w:val="24"/>
        </w:rPr>
        <w:t xml:space="preserve">of the report is not disclosed. </w:t>
      </w:r>
    </w:p>
    <w:p w:rsidR="002009A2" w:rsidRDefault="002009A2" w:rsidP="002009A2">
      <w:pPr>
        <w:rPr>
          <w:rFonts w:cs="Arial"/>
          <w:szCs w:val="24"/>
        </w:rPr>
      </w:pPr>
      <w:r>
        <w:rPr>
          <w:rFonts w:cs="Arial"/>
          <w:szCs w:val="24"/>
        </w:rPr>
        <w:t xml:space="preserve">After this process, the CEO of Health </w:t>
      </w:r>
      <w:r w:rsidR="007C63FB">
        <w:rPr>
          <w:rFonts w:cs="Arial"/>
          <w:szCs w:val="24"/>
        </w:rPr>
        <w:t>will</w:t>
      </w:r>
      <w:r>
        <w:rPr>
          <w:rFonts w:cs="Arial"/>
          <w:szCs w:val="24"/>
        </w:rPr>
        <w:t xml:space="preserve"> decide </w:t>
      </w:r>
      <w:r w:rsidR="007C63FB">
        <w:rPr>
          <w:rFonts w:cs="Arial"/>
          <w:szCs w:val="24"/>
        </w:rPr>
        <w:t xml:space="preserve">whether or not </w:t>
      </w:r>
      <w:r>
        <w:rPr>
          <w:rFonts w:cs="Arial"/>
          <w:szCs w:val="24"/>
        </w:rPr>
        <w:t>to include the name of the person on the Drugs of Addiction Record as an oversupplied or drug dependent person.</w:t>
      </w:r>
    </w:p>
    <w:p w:rsidR="002009A2" w:rsidRPr="00D90FD7" w:rsidRDefault="002009A2" w:rsidP="002009A2">
      <w:pPr>
        <w:pStyle w:val="Heading2"/>
      </w:pPr>
      <w:r>
        <w:t>Being on the Record</w:t>
      </w:r>
    </w:p>
    <w:p w:rsidR="002009A2" w:rsidRDefault="002009A2" w:rsidP="002009A2">
      <w:pPr>
        <w:rPr>
          <w:rFonts w:cs="Arial"/>
          <w:szCs w:val="24"/>
        </w:rPr>
      </w:pPr>
      <w:r w:rsidRPr="002A761F">
        <w:rPr>
          <w:rFonts w:cs="Arial"/>
          <w:szCs w:val="24"/>
        </w:rPr>
        <w:t xml:space="preserve">For those on the Record, prior written authorisation is required from the CEO of Health before </w:t>
      </w:r>
      <w:r w:rsidR="007C63FB">
        <w:rPr>
          <w:rFonts w:cs="Arial"/>
          <w:szCs w:val="24"/>
        </w:rPr>
        <w:t xml:space="preserve">a prescriber may </w:t>
      </w:r>
      <w:r w:rsidRPr="002A761F">
        <w:rPr>
          <w:rFonts w:cs="Arial"/>
          <w:szCs w:val="24"/>
        </w:rPr>
        <w:t>prescrib</w:t>
      </w:r>
      <w:r w:rsidR="007C63FB">
        <w:rPr>
          <w:rFonts w:cs="Arial"/>
          <w:szCs w:val="24"/>
        </w:rPr>
        <w:t>e</w:t>
      </w:r>
      <w:r w:rsidRPr="002A761F">
        <w:rPr>
          <w:rFonts w:cs="Arial"/>
          <w:szCs w:val="24"/>
        </w:rPr>
        <w:t xml:space="preserve"> a</w:t>
      </w:r>
      <w:r>
        <w:rPr>
          <w:rFonts w:cs="Arial"/>
          <w:szCs w:val="24"/>
        </w:rPr>
        <w:t xml:space="preserve"> Schedule 8 medicine. Appropriate consultant support is required before an application</w:t>
      </w:r>
      <w:r w:rsidR="007C63FB">
        <w:rPr>
          <w:rFonts w:cs="Arial"/>
          <w:szCs w:val="24"/>
        </w:rPr>
        <w:t xml:space="preserve"> for authorisation</w:t>
      </w:r>
      <w:r>
        <w:rPr>
          <w:rFonts w:cs="Arial"/>
          <w:szCs w:val="24"/>
        </w:rPr>
        <w:t xml:space="preserve"> will be considered</w:t>
      </w:r>
      <w:r w:rsidR="007C63FB">
        <w:rPr>
          <w:rFonts w:cs="Arial"/>
          <w:szCs w:val="24"/>
        </w:rPr>
        <w:t xml:space="preserve"> (c</w:t>
      </w:r>
      <w:r>
        <w:rPr>
          <w:rFonts w:cs="Arial"/>
          <w:szCs w:val="24"/>
        </w:rPr>
        <w:t xml:space="preserve">onditions </w:t>
      </w:r>
      <w:r w:rsidR="00982B2D">
        <w:rPr>
          <w:rFonts w:cs="Arial"/>
          <w:szCs w:val="24"/>
        </w:rPr>
        <w:t xml:space="preserve">may be imposed </w:t>
      </w:r>
      <w:r>
        <w:rPr>
          <w:rFonts w:cs="Arial"/>
          <w:szCs w:val="24"/>
        </w:rPr>
        <w:t>on prescribing or dispensing</w:t>
      </w:r>
      <w:r w:rsidR="007C63FB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. </w:t>
      </w:r>
    </w:p>
    <w:p w:rsidR="002009A2" w:rsidRDefault="002009A2" w:rsidP="002009A2">
      <w:pPr>
        <w:tabs>
          <w:tab w:val="left" w:pos="-720"/>
        </w:tabs>
        <w:suppressAutoHyphens/>
        <w:jc w:val="both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 xml:space="preserve">A health practitioner </w:t>
      </w:r>
      <w:r w:rsidRPr="002A761F">
        <w:rPr>
          <w:rFonts w:cs="Arial"/>
          <w:spacing w:val="-3"/>
          <w:szCs w:val="24"/>
        </w:rPr>
        <w:t>may administer Schedule</w:t>
      </w:r>
      <w:r>
        <w:rPr>
          <w:rFonts w:cs="Arial"/>
          <w:spacing w:val="-3"/>
          <w:szCs w:val="24"/>
        </w:rPr>
        <w:t xml:space="preserve"> 8 medicines to a person on the Record, </w:t>
      </w:r>
      <w:r w:rsidR="007C63FB">
        <w:rPr>
          <w:rFonts w:cs="Arial"/>
          <w:spacing w:val="-3"/>
          <w:szCs w:val="24"/>
        </w:rPr>
        <w:t>in</w:t>
      </w:r>
      <w:r>
        <w:rPr>
          <w:rFonts w:cs="Arial"/>
          <w:spacing w:val="-3"/>
          <w:szCs w:val="24"/>
        </w:rPr>
        <w:t xml:space="preserve"> the event of a medical emergency</w:t>
      </w:r>
      <w:r w:rsidR="007C63FB">
        <w:rPr>
          <w:rFonts w:cs="Arial"/>
          <w:spacing w:val="-3"/>
          <w:szCs w:val="24"/>
        </w:rPr>
        <w:t xml:space="preserve"> or if the person is an inpatient</w:t>
      </w:r>
      <w:r>
        <w:rPr>
          <w:rFonts w:cs="Arial"/>
          <w:spacing w:val="-3"/>
          <w:szCs w:val="24"/>
        </w:rPr>
        <w:t xml:space="preserve">. </w:t>
      </w:r>
    </w:p>
    <w:p w:rsidR="002009A2" w:rsidRDefault="002009A2" w:rsidP="002009A2">
      <w:pPr>
        <w:tabs>
          <w:tab w:val="left" w:pos="-720"/>
        </w:tabs>
        <w:suppressAutoHyphens/>
        <w:jc w:val="both"/>
        <w:rPr>
          <w:rFonts w:cs="Arial"/>
          <w:spacing w:val="-3"/>
          <w:szCs w:val="24"/>
        </w:rPr>
      </w:pPr>
      <w:r w:rsidRPr="00EC19A4">
        <w:t xml:space="preserve">Information on the Record is </w:t>
      </w:r>
      <w:r>
        <w:t xml:space="preserve">for medical treatment only and is only </w:t>
      </w:r>
      <w:r w:rsidR="007C63FB">
        <w:t xml:space="preserve">made </w:t>
      </w:r>
      <w:r>
        <w:t xml:space="preserve">available to medical practitioners </w:t>
      </w:r>
      <w:r w:rsidR="00982B2D">
        <w:t xml:space="preserve">when </w:t>
      </w:r>
      <w:r>
        <w:t>necessary for</w:t>
      </w:r>
      <w:r w:rsidR="007C63FB">
        <w:t xml:space="preserve"> the</w:t>
      </w:r>
      <w:r>
        <w:t xml:space="preserve"> treatment of the patient. It is </w:t>
      </w:r>
      <w:r w:rsidRPr="00EC19A4">
        <w:t>not available to employer</w:t>
      </w:r>
      <w:r>
        <w:t>s</w:t>
      </w:r>
      <w:r w:rsidRPr="00EC19A4">
        <w:t xml:space="preserve">, police or other </w:t>
      </w:r>
      <w:r>
        <w:t xml:space="preserve">Government </w:t>
      </w:r>
      <w:r w:rsidRPr="00EC19A4">
        <w:t>agencies</w:t>
      </w:r>
      <w:r>
        <w:t>.</w:t>
      </w:r>
    </w:p>
    <w:p w:rsidR="002009A2" w:rsidRDefault="002009A2" w:rsidP="002009A2">
      <w:pPr>
        <w:pStyle w:val="Heading3"/>
        <w:rPr>
          <w:lang w:eastAsia="en-AU"/>
        </w:rPr>
      </w:pPr>
      <w:r>
        <w:rPr>
          <w:lang w:eastAsia="en-AU"/>
        </w:rPr>
        <w:t>Removal from the Record</w:t>
      </w:r>
    </w:p>
    <w:p w:rsidR="00BD2AD9" w:rsidRDefault="00B01EAF" w:rsidP="00BD2AD9">
      <w:pPr>
        <w:rPr>
          <w:lang w:eastAsia="en-AU"/>
        </w:rPr>
      </w:pPr>
      <w:r>
        <w:rPr>
          <w:lang w:eastAsia="en-AU"/>
        </w:rPr>
        <w:t>A record of drug dependency or oversupply may be removed</w:t>
      </w:r>
      <w:r w:rsidR="002009A2">
        <w:rPr>
          <w:lang w:eastAsia="en-AU"/>
        </w:rPr>
        <w:t xml:space="preserve"> from the Record </w:t>
      </w:r>
      <w:r w:rsidR="007C63FB">
        <w:rPr>
          <w:lang w:eastAsia="en-AU"/>
        </w:rPr>
        <w:t>in the following circumstances:</w:t>
      </w:r>
    </w:p>
    <w:p w:rsidR="002009A2" w:rsidRPr="00D90FD7" w:rsidRDefault="002009A2" w:rsidP="007C63FB">
      <w:pPr>
        <w:pStyle w:val="ListParagraph"/>
        <w:numPr>
          <w:ilvl w:val="0"/>
          <w:numId w:val="15"/>
        </w:numPr>
        <w:rPr>
          <w:lang w:eastAsia="en-AU"/>
        </w:rPr>
      </w:pPr>
      <w:r w:rsidRPr="00D90FD7">
        <w:rPr>
          <w:lang w:eastAsia="en-AU"/>
        </w:rPr>
        <w:t>the person referred to in the record has died</w:t>
      </w:r>
      <w:r w:rsidR="00A42187">
        <w:rPr>
          <w:lang w:eastAsia="en-AU"/>
        </w:rPr>
        <w:t>;</w:t>
      </w:r>
    </w:p>
    <w:p w:rsidR="002009A2" w:rsidRDefault="00B01EAF" w:rsidP="002009A2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to correct an error or omission;</w:t>
      </w:r>
    </w:p>
    <w:p w:rsidR="00B01EAF" w:rsidRDefault="00B01EAF" w:rsidP="002009A2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if the recor</w:t>
      </w:r>
      <w:r w:rsidR="00CD500F">
        <w:rPr>
          <w:lang w:eastAsia="en-AU"/>
        </w:rPr>
        <w:t>d is not accurate or up to date, including:</w:t>
      </w:r>
    </w:p>
    <w:p w:rsidR="002009A2" w:rsidRDefault="002009A2" w:rsidP="00CD500F">
      <w:pPr>
        <w:pStyle w:val="ListParagraph"/>
        <w:numPr>
          <w:ilvl w:val="1"/>
          <w:numId w:val="11"/>
        </w:numPr>
        <w:ind w:left="993" w:hanging="284"/>
        <w:rPr>
          <w:lang w:eastAsia="en-AU"/>
        </w:rPr>
      </w:pPr>
      <w:r w:rsidRPr="00D90FD7">
        <w:rPr>
          <w:lang w:eastAsia="en-AU"/>
        </w:rPr>
        <w:t>the person has been drug-free for 2 years</w:t>
      </w:r>
      <w:r w:rsidR="00B01EAF">
        <w:rPr>
          <w:lang w:eastAsia="en-AU"/>
        </w:rPr>
        <w:t xml:space="preserve">.  The person or a </w:t>
      </w:r>
      <w:r w:rsidRPr="00D90FD7">
        <w:rPr>
          <w:lang w:eastAsia="en-AU"/>
        </w:rPr>
        <w:t xml:space="preserve">medical practitioner </w:t>
      </w:r>
      <w:r w:rsidR="00B01EAF">
        <w:rPr>
          <w:lang w:eastAsia="en-AU"/>
        </w:rPr>
        <w:t xml:space="preserve">acting on their behalf </w:t>
      </w:r>
      <w:r w:rsidR="007C63FB">
        <w:rPr>
          <w:lang w:eastAsia="en-AU"/>
        </w:rPr>
        <w:t xml:space="preserve">must </w:t>
      </w:r>
      <w:r w:rsidR="00A42187">
        <w:rPr>
          <w:lang w:eastAsia="en-AU"/>
        </w:rPr>
        <w:t>appl</w:t>
      </w:r>
      <w:r w:rsidR="007C63FB">
        <w:rPr>
          <w:lang w:eastAsia="en-AU"/>
        </w:rPr>
        <w:t>y</w:t>
      </w:r>
      <w:r w:rsidR="00A42187">
        <w:rPr>
          <w:lang w:eastAsia="en-AU"/>
        </w:rPr>
        <w:t xml:space="preserve"> </w:t>
      </w:r>
      <w:r w:rsidR="00A42187" w:rsidRPr="00D90FD7">
        <w:rPr>
          <w:lang w:eastAsia="en-AU"/>
        </w:rPr>
        <w:t xml:space="preserve">to the Department </w:t>
      </w:r>
      <w:r w:rsidR="00A42187">
        <w:rPr>
          <w:lang w:eastAsia="en-AU"/>
        </w:rPr>
        <w:t xml:space="preserve">of Health </w:t>
      </w:r>
      <w:r w:rsidR="007C63FB">
        <w:rPr>
          <w:lang w:eastAsia="en-AU"/>
        </w:rPr>
        <w:t xml:space="preserve">providing </w:t>
      </w:r>
      <w:r w:rsidRPr="00D90FD7">
        <w:rPr>
          <w:lang w:eastAsia="en-AU"/>
        </w:rPr>
        <w:t xml:space="preserve">supporting </w:t>
      </w:r>
      <w:r>
        <w:rPr>
          <w:lang w:eastAsia="en-AU"/>
        </w:rPr>
        <w:t>evidence</w:t>
      </w:r>
      <w:r w:rsidR="00A42187">
        <w:rPr>
          <w:lang w:eastAsia="en-AU"/>
        </w:rPr>
        <w:t>;</w:t>
      </w:r>
      <w:r>
        <w:rPr>
          <w:lang w:eastAsia="en-AU"/>
        </w:rPr>
        <w:t xml:space="preserve"> </w:t>
      </w:r>
      <w:r w:rsidR="00A42187">
        <w:rPr>
          <w:lang w:eastAsia="en-AU"/>
        </w:rPr>
        <w:t>or</w:t>
      </w:r>
    </w:p>
    <w:p w:rsidR="002009A2" w:rsidRDefault="002009A2" w:rsidP="00CD500F">
      <w:pPr>
        <w:pStyle w:val="ListParagraph"/>
        <w:numPr>
          <w:ilvl w:val="1"/>
          <w:numId w:val="11"/>
        </w:numPr>
        <w:ind w:left="993" w:hanging="284"/>
        <w:rPr>
          <w:lang w:eastAsia="en-AU"/>
        </w:rPr>
      </w:pPr>
      <w:r w:rsidRPr="00D90FD7">
        <w:rPr>
          <w:lang w:eastAsia="en-AU"/>
        </w:rPr>
        <w:t xml:space="preserve">the person has no </w:t>
      </w:r>
      <w:r w:rsidR="00A42187" w:rsidRPr="00D90FD7">
        <w:rPr>
          <w:lang w:eastAsia="en-AU"/>
        </w:rPr>
        <w:t xml:space="preserve">direct or indirect </w:t>
      </w:r>
      <w:r w:rsidRPr="00D90FD7">
        <w:rPr>
          <w:lang w:eastAsia="en-AU"/>
        </w:rPr>
        <w:t xml:space="preserve">contact with the Department, </w:t>
      </w:r>
      <w:r w:rsidR="00A42187" w:rsidRPr="00D90FD7">
        <w:rPr>
          <w:lang w:eastAsia="en-AU"/>
        </w:rPr>
        <w:t>in relation to their use of drugs of addiction</w:t>
      </w:r>
      <w:r w:rsidR="00A42187">
        <w:rPr>
          <w:lang w:eastAsia="en-AU"/>
        </w:rPr>
        <w:t>,</w:t>
      </w:r>
      <w:r w:rsidR="00A42187" w:rsidRPr="00D90FD7">
        <w:rPr>
          <w:lang w:eastAsia="en-AU"/>
        </w:rPr>
        <w:t xml:space="preserve"> for a period of 5 years</w:t>
      </w:r>
      <w:r w:rsidR="00A42187">
        <w:rPr>
          <w:lang w:eastAsia="en-AU"/>
        </w:rPr>
        <w:t>.</w:t>
      </w:r>
      <w:r w:rsidR="00A42187" w:rsidRPr="00D90FD7">
        <w:rPr>
          <w:lang w:eastAsia="en-AU"/>
        </w:rPr>
        <w:t xml:space="preserve"> </w:t>
      </w:r>
    </w:p>
    <w:p w:rsidR="00B867E2" w:rsidRDefault="00B867E2" w:rsidP="00B867E2">
      <w:pPr>
        <w:pStyle w:val="Heading2"/>
        <w:rPr>
          <w:rFonts w:eastAsia="Calibri"/>
        </w:rPr>
      </w:pPr>
      <w:r>
        <w:rPr>
          <w:rFonts w:eastAsia="Calibri"/>
        </w:rPr>
        <w:t>More information</w:t>
      </w:r>
    </w:p>
    <w:p w:rsidR="00B867E2" w:rsidRDefault="00B867E2" w:rsidP="00B867E2">
      <w:pPr>
        <w:pStyle w:val="Copy"/>
      </w:pPr>
      <w:r>
        <w:t xml:space="preserve">For more information visit the Department of Health website or email: </w:t>
      </w:r>
    </w:p>
    <w:p w:rsidR="00B867E2" w:rsidRDefault="009F40B0" w:rsidP="00B867E2">
      <w:pPr>
        <w:pStyle w:val="Copy"/>
      </w:pPr>
      <w:hyperlink r:id="rId9" w:history="1">
        <w:r w:rsidR="002A761F" w:rsidRPr="00EE5627">
          <w:rPr>
            <w:rStyle w:val="Hyperlink"/>
          </w:rPr>
          <w:t>www.health.wa.gov.au/pharmacy</w:t>
        </w:r>
      </w:hyperlink>
      <w:r w:rsidR="002A761F">
        <w:t xml:space="preserve"> </w:t>
      </w:r>
      <w:r w:rsidR="00CD500F">
        <w:tab/>
      </w:r>
      <w:r w:rsidR="00CD500F">
        <w:tab/>
      </w:r>
      <w:hyperlink r:id="rId10" w:history="1">
        <w:r w:rsidR="00B867E2">
          <w:rPr>
            <w:rStyle w:val="Hyperlink"/>
          </w:rPr>
          <w:t>poisons@health.wa.gov.au</w:t>
        </w:r>
      </w:hyperlink>
      <w:r w:rsidR="00B867E2">
        <w:t xml:space="preserve">    </w:t>
      </w:r>
    </w:p>
    <w:sectPr w:rsidR="00B867E2" w:rsidSect="00CD50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680" w:bottom="1135" w:left="680" w:header="392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1C" w:rsidRDefault="0095301C" w:rsidP="0013662A">
      <w:pPr>
        <w:spacing w:after="0"/>
      </w:pPr>
      <w:r>
        <w:separator/>
      </w:r>
    </w:p>
  </w:endnote>
  <w:endnote w:type="continuationSeparator" w:id="0">
    <w:p w:rsidR="0095301C" w:rsidRDefault="0095301C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MT Std">
    <w:panose1 w:val="00000000000000000000"/>
    <w:charset w:val="00"/>
    <w:family w:val="roman"/>
    <w:notTrueType/>
    <w:pitch w:val="default"/>
  </w:font>
  <w:font w:name="ArialMTSt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AE" w:rsidRDefault="00771E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95" w:rsidRDefault="00805B43" w:rsidP="009B0844">
    <w:pPr>
      <w:spacing w:after="300"/>
      <w:ind w:right="-1"/>
    </w:pPr>
    <w:r>
      <w:t>© Department of Health 2017</w:t>
    </w:r>
  </w:p>
  <w:p w:rsidR="00BC5A95" w:rsidRPr="007C63FB" w:rsidRDefault="00BC5A95" w:rsidP="007C63FB">
    <w:pPr>
      <w:pStyle w:val="TEXT"/>
      <w:tabs>
        <w:tab w:val="left" w:pos="720"/>
        <w:tab w:val="left" w:pos="1440"/>
        <w:tab w:val="left" w:pos="2160"/>
        <w:tab w:val="left" w:pos="2880"/>
        <w:tab w:val="center" w:pos="5273"/>
      </w:tabs>
      <w:spacing w:line="240" w:lineRule="auto"/>
      <w:rPr>
        <w:rFonts w:ascii="Arial" w:hAnsi="Arial"/>
        <w:color w:val="1B2C5B"/>
        <w:sz w:val="20"/>
        <w:szCs w:val="20"/>
      </w:rPr>
    </w:pPr>
    <w:r w:rsidRPr="00483052">
      <w:rPr>
        <w:rFonts w:ascii="Arial" w:hAnsi="Arial"/>
        <w:color w:val="1B2C5B"/>
        <w:sz w:val="28"/>
        <w:szCs w:val="28"/>
      </w:rPr>
      <w:t>health</w:t>
    </w:r>
    <w:r>
      <w:rPr>
        <w:rFonts w:ascii="Arial" w:hAnsi="Arial"/>
        <w:color w:val="1B2C5B"/>
        <w:sz w:val="28"/>
        <w:szCs w:val="28"/>
      </w:rPr>
      <w:t>ywa</w:t>
    </w:r>
    <w:r w:rsidRPr="00483052">
      <w:rPr>
        <w:rFonts w:ascii="Arial" w:hAnsi="Arial"/>
        <w:color w:val="1B2C5B"/>
        <w:sz w:val="28"/>
        <w:szCs w:val="28"/>
      </w:rPr>
      <w:t>.wa.gov.au</w:t>
    </w:r>
    <w:r w:rsidR="007C63FB">
      <w:rPr>
        <w:rFonts w:ascii="Arial" w:hAnsi="Arial"/>
        <w:color w:val="1B2C5B"/>
        <w:sz w:val="28"/>
        <w:szCs w:val="28"/>
      </w:rPr>
      <w:tab/>
    </w:r>
    <w:r w:rsidR="007C63FB">
      <w:rPr>
        <w:rFonts w:ascii="Arial" w:hAnsi="Arial"/>
        <w:color w:val="1B2C5B"/>
        <w:sz w:val="28"/>
        <w:szCs w:val="28"/>
      </w:rPr>
      <w:tab/>
    </w:r>
    <w:r w:rsidR="007C63FB" w:rsidRPr="007C63FB">
      <w:rPr>
        <w:rFonts w:ascii="Arial" w:hAnsi="Arial"/>
        <w:color w:val="1B2C5B"/>
      </w:rPr>
      <w:fldChar w:fldCharType="begin"/>
    </w:r>
    <w:r w:rsidR="007C63FB" w:rsidRPr="007C63FB">
      <w:rPr>
        <w:rFonts w:ascii="Arial" w:hAnsi="Arial"/>
        <w:color w:val="1B2C5B"/>
      </w:rPr>
      <w:instrText xml:space="preserve"> PAGE  \* Arabic  \* MERGEFORMAT </w:instrText>
    </w:r>
    <w:r w:rsidR="007C63FB" w:rsidRPr="007C63FB">
      <w:rPr>
        <w:rFonts w:ascii="Arial" w:hAnsi="Arial"/>
        <w:color w:val="1B2C5B"/>
      </w:rPr>
      <w:fldChar w:fldCharType="separate"/>
    </w:r>
    <w:r w:rsidR="009F40B0">
      <w:rPr>
        <w:rFonts w:ascii="Arial" w:hAnsi="Arial"/>
        <w:noProof/>
        <w:color w:val="1B2C5B"/>
      </w:rPr>
      <w:t>2</w:t>
    </w:r>
    <w:r w:rsidR="007C63FB" w:rsidRPr="007C63FB">
      <w:rPr>
        <w:rFonts w:ascii="Arial" w:hAnsi="Arial"/>
        <w:color w:val="1B2C5B"/>
      </w:rPr>
      <w:fldChar w:fldCharType="end"/>
    </w:r>
    <w:r w:rsidR="007C63FB">
      <w:rPr>
        <w:rFonts w:ascii="Arial" w:hAnsi="Arial"/>
        <w:color w:val="1B2C5B"/>
      </w:rPr>
      <w:tab/>
    </w:r>
    <w:r w:rsidR="007C63FB">
      <w:rPr>
        <w:rFonts w:ascii="Arial" w:hAnsi="Arial"/>
        <w:color w:val="1B2C5B"/>
      </w:rPr>
      <w:tab/>
    </w:r>
    <w:r w:rsidR="007C63FB">
      <w:rPr>
        <w:rFonts w:ascii="Arial" w:hAnsi="Arial"/>
        <w:color w:val="1B2C5B"/>
      </w:rPr>
      <w:tab/>
    </w:r>
    <w:r w:rsidR="007C63FB">
      <w:rPr>
        <w:rFonts w:ascii="Arial" w:hAnsi="Arial"/>
        <w:color w:val="1B2C5B"/>
      </w:rPr>
      <w:tab/>
    </w:r>
    <w:r w:rsidR="007C63FB">
      <w:rPr>
        <w:rFonts w:ascii="Arial" w:hAnsi="Arial"/>
        <w:color w:val="1B2C5B"/>
      </w:rPr>
      <w:tab/>
    </w:r>
    <w:r w:rsidR="007C63FB">
      <w:rPr>
        <w:rFonts w:ascii="Arial" w:hAnsi="Arial"/>
        <w:color w:val="1B2C5B"/>
      </w:rPr>
      <w:tab/>
    </w:r>
    <w:r w:rsidR="007C63FB" w:rsidRPr="007C63FB">
      <w:rPr>
        <w:rFonts w:ascii="Arial" w:hAnsi="Arial"/>
        <w:color w:val="auto"/>
        <w:sz w:val="20"/>
        <w:szCs w:val="20"/>
      </w:rPr>
      <w:t>D00064</w:t>
    </w:r>
    <w:r w:rsidR="00771EAE">
      <w:rPr>
        <w:rFonts w:ascii="Arial" w:hAnsi="Arial"/>
        <w:color w:val="auto"/>
        <w:sz w:val="20"/>
        <w:szCs w:val="20"/>
      </w:rPr>
      <w:t>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95" w:rsidRPr="00232283" w:rsidRDefault="00BC5A95" w:rsidP="00232283">
    <w:pPr>
      <w:spacing w:after="240"/>
      <w:rPr>
        <w:b/>
        <w:color w:val="1B2C5B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1C" w:rsidRDefault="0095301C" w:rsidP="0013662A">
      <w:pPr>
        <w:spacing w:after="0"/>
      </w:pPr>
      <w:r>
        <w:separator/>
      </w:r>
    </w:p>
  </w:footnote>
  <w:footnote w:type="continuationSeparator" w:id="0">
    <w:p w:rsidR="0095301C" w:rsidRDefault="0095301C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AE" w:rsidRDefault="00771E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AE" w:rsidRDefault="00771E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95" w:rsidRDefault="0020659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11FC161C" wp14:editId="0EE8F3C3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9DD"/>
    <w:multiLevelType w:val="hybridMultilevel"/>
    <w:tmpl w:val="37865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41798"/>
    <w:multiLevelType w:val="hybridMultilevel"/>
    <w:tmpl w:val="AD482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3023C"/>
    <w:multiLevelType w:val="hybridMultilevel"/>
    <w:tmpl w:val="B69041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005A4B"/>
    <w:multiLevelType w:val="hybridMultilevel"/>
    <w:tmpl w:val="7D209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6D6F19"/>
    <w:multiLevelType w:val="hybridMultilevel"/>
    <w:tmpl w:val="A1B638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A61B3B"/>
    <w:multiLevelType w:val="hybridMultilevel"/>
    <w:tmpl w:val="B810C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46B34"/>
    <w:multiLevelType w:val="hybridMultilevel"/>
    <w:tmpl w:val="1598AD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A7166D"/>
    <w:multiLevelType w:val="hybridMultilevel"/>
    <w:tmpl w:val="19400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31063"/>
    <w:multiLevelType w:val="hybridMultilevel"/>
    <w:tmpl w:val="A8625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943FB"/>
    <w:multiLevelType w:val="hybridMultilevel"/>
    <w:tmpl w:val="7E84FD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A22E6"/>
    <w:multiLevelType w:val="hybridMultilevel"/>
    <w:tmpl w:val="543848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EE2A54"/>
    <w:multiLevelType w:val="hybridMultilevel"/>
    <w:tmpl w:val="067039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B2C5B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A62C2"/>
    <w:multiLevelType w:val="hybridMultilevel"/>
    <w:tmpl w:val="E6F83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C7264"/>
    <w:multiLevelType w:val="hybridMultilevel"/>
    <w:tmpl w:val="368E71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4"/>
  </w:num>
  <w:num w:numId="5">
    <w:abstractNumId w:val="14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readOnly" w:enforcement="1"/>
  <w:defaultTabStop w:val="720"/>
  <w:drawingGridHorizontalSpacing w:val="142"/>
  <w:drawingGridVerticalSpacing w:val="14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0A778B"/>
    <w:rsid w:val="000C349C"/>
    <w:rsid w:val="001328A6"/>
    <w:rsid w:val="0013662A"/>
    <w:rsid w:val="001437E0"/>
    <w:rsid w:val="00171B7B"/>
    <w:rsid w:val="001B6959"/>
    <w:rsid w:val="001C2F23"/>
    <w:rsid w:val="001C7D1F"/>
    <w:rsid w:val="001D4E95"/>
    <w:rsid w:val="001F6030"/>
    <w:rsid w:val="001F68E9"/>
    <w:rsid w:val="002009A2"/>
    <w:rsid w:val="002017A1"/>
    <w:rsid w:val="00206598"/>
    <w:rsid w:val="00220E8F"/>
    <w:rsid w:val="00232283"/>
    <w:rsid w:val="00246F3F"/>
    <w:rsid w:val="002874A8"/>
    <w:rsid w:val="002A761F"/>
    <w:rsid w:val="002C7D7D"/>
    <w:rsid w:val="002E5F5B"/>
    <w:rsid w:val="003402D5"/>
    <w:rsid w:val="00355004"/>
    <w:rsid w:val="00391B5C"/>
    <w:rsid w:val="003929E7"/>
    <w:rsid w:val="00466DB9"/>
    <w:rsid w:val="00471692"/>
    <w:rsid w:val="00483052"/>
    <w:rsid w:val="00492C70"/>
    <w:rsid w:val="004A0F58"/>
    <w:rsid w:val="004A609E"/>
    <w:rsid w:val="004C2780"/>
    <w:rsid w:val="004C27CB"/>
    <w:rsid w:val="004C6976"/>
    <w:rsid w:val="004E7B52"/>
    <w:rsid w:val="00521D1A"/>
    <w:rsid w:val="0056716B"/>
    <w:rsid w:val="005868E8"/>
    <w:rsid w:val="00597A85"/>
    <w:rsid w:val="005A409E"/>
    <w:rsid w:val="005B3EC8"/>
    <w:rsid w:val="005D455D"/>
    <w:rsid w:val="005E4C9B"/>
    <w:rsid w:val="00621C0A"/>
    <w:rsid w:val="006853ED"/>
    <w:rsid w:val="006F1E2D"/>
    <w:rsid w:val="006F52D0"/>
    <w:rsid w:val="00750DF9"/>
    <w:rsid w:val="00753150"/>
    <w:rsid w:val="0077027C"/>
    <w:rsid w:val="00771EAE"/>
    <w:rsid w:val="00794DF0"/>
    <w:rsid w:val="007C3222"/>
    <w:rsid w:val="007C63FB"/>
    <w:rsid w:val="007D3AE7"/>
    <w:rsid w:val="007D793C"/>
    <w:rsid w:val="007E2073"/>
    <w:rsid w:val="00805B43"/>
    <w:rsid w:val="008224AC"/>
    <w:rsid w:val="00854A5E"/>
    <w:rsid w:val="00881846"/>
    <w:rsid w:val="00882643"/>
    <w:rsid w:val="00897837"/>
    <w:rsid w:val="008B0F85"/>
    <w:rsid w:val="008C6F0A"/>
    <w:rsid w:val="008E3665"/>
    <w:rsid w:val="008F7FE4"/>
    <w:rsid w:val="009268E4"/>
    <w:rsid w:val="00930DF8"/>
    <w:rsid w:val="00932C95"/>
    <w:rsid w:val="00933CEB"/>
    <w:rsid w:val="0095301C"/>
    <w:rsid w:val="009668ED"/>
    <w:rsid w:val="00981DA1"/>
    <w:rsid w:val="00982B2D"/>
    <w:rsid w:val="00990D6C"/>
    <w:rsid w:val="009B0844"/>
    <w:rsid w:val="009C3878"/>
    <w:rsid w:val="009D2A4B"/>
    <w:rsid w:val="009F40B0"/>
    <w:rsid w:val="00A02832"/>
    <w:rsid w:val="00A177FD"/>
    <w:rsid w:val="00A24F5C"/>
    <w:rsid w:val="00A42187"/>
    <w:rsid w:val="00A91C4C"/>
    <w:rsid w:val="00AA1620"/>
    <w:rsid w:val="00AC5B35"/>
    <w:rsid w:val="00AD4938"/>
    <w:rsid w:val="00AD7AA9"/>
    <w:rsid w:val="00AF0C79"/>
    <w:rsid w:val="00B01EAF"/>
    <w:rsid w:val="00B17ECC"/>
    <w:rsid w:val="00B37095"/>
    <w:rsid w:val="00B5318E"/>
    <w:rsid w:val="00B67BFE"/>
    <w:rsid w:val="00B85FD3"/>
    <w:rsid w:val="00B867E2"/>
    <w:rsid w:val="00BA47A6"/>
    <w:rsid w:val="00BB5682"/>
    <w:rsid w:val="00BC5A95"/>
    <w:rsid w:val="00BD2AD9"/>
    <w:rsid w:val="00BD41EB"/>
    <w:rsid w:val="00BD7C33"/>
    <w:rsid w:val="00BE3C2D"/>
    <w:rsid w:val="00C124CF"/>
    <w:rsid w:val="00C573E1"/>
    <w:rsid w:val="00C672F6"/>
    <w:rsid w:val="00C7143D"/>
    <w:rsid w:val="00C729CE"/>
    <w:rsid w:val="00C95A14"/>
    <w:rsid w:val="00CD500F"/>
    <w:rsid w:val="00CF2778"/>
    <w:rsid w:val="00CF64E2"/>
    <w:rsid w:val="00D046CD"/>
    <w:rsid w:val="00D147D4"/>
    <w:rsid w:val="00D51596"/>
    <w:rsid w:val="00D636EE"/>
    <w:rsid w:val="00D67C3D"/>
    <w:rsid w:val="00D91711"/>
    <w:rsid w:val="00D9301F"/>
    <w:rsid w:val="00DD22D0"/>
    <w:rsid w:val="00DE4BFE"/>
    <w:rsid w:val="00DF78F2"/>
    <w:rsid w:val="00E40563"/>
    <w:rsid w:val="00E47483"/>
    <w:rsid w:val="00E775B0"/>
    <w:rsid w:val="00F177E6"/>
    <w:rsid w:val="00F647BD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1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="Times New Roman"/>
      <w:bCs/>
      <w:color w:val="1B2C5B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="Times New Roman"/>
      <w:b/>
      <w:bCs/>
      <w:color w:val="1B2C5B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="Times New Roman"/>
      <w:b/>
      <w:bCs/>
      <w:color w:val="1B2C5B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="Times New Roman" w:hAnsi="Arial" w:cs="Times New Roman"/>
      <w:bCs/>
      <w:color w:val="1B2C5B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="Times New Roman" w:hAnsi="Arial" w:cs="Times New Roman"/>
      <w:b/>
      <w:bCs/>
      <w:color w:val="1B2C5B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="Times New Roman" w:hAnsi="Arial" w:cs="Times New Roman"/>
      <w:b/>
      <w:bCs/>
      <w:color w:val="1B2C5B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qFormat/>
    <w:rsid w:val="00981DA1"/>
    <w:pPr>
      <w:spacing w:after="0" w:line="276" w:lineRule="auto"/>
      <w:outlineLvl w:val="9"/>
    </w:pPr>
    <w:rPr>
      <w:rFonts w:ascii="Cambria" w:hAnsi="Cambria"/>
      <w:color w:val="142044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142044"/>
    </w:rPr>
    <w:tblPr>
      <w:tblStyleRowBandSize w:val="1"/>
      <w:tblStyleColBandSize w:val="1"/>
      <w:tblBorders>
        <w:top w:val="single" w:sz="8" w:space="0" w:color="1B2C5B"/>
        <w:bottom w:val="single" w:sz="8" w:space="0" w:color="1B2C5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  <w:insideH w:val="single" w:sz="8" w:space="0" w:color="1B2C5B"/>
        <w:insideV w:val="single" w:sz="8" w:space="0" w:color="1B2C5B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1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  <w:shd w:val="clear" w:color="auto" w:fill="B4C2E8"/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  <w:shd w:val="clear" w:color="auto" w:fill="B4C2E8"/>
      </w:tcPr>
    </w:tblStylePr>
    <w:tblStylePr w:type="band2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1B2C5B"/>
          <w:left w:val="single" w:sz="8" w:space="0" w:color="1B2C5B"/>
          <w:bottom w:val="single" w:sz="1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  <w:shd w:val="clear" w:color="auto" w:fill="B4C2E8"/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  <w:shd w:val="clear" w:color="auto" w:fill="1B2C5B"/>
      </w:tcPr>
    </w:tblStylePr>
    <w:tblStylePr w:type="band2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3150A6"/>
        <w:left w:val="single" w:sz="8" w:space="0" w:color="3150A6"/>
        <w:bottom w:val="single" w:sz="8" w:space="0" w:color="3150A6"/>
        <w:right w:val="single" w:sz="8" w:space="0" w:color="3150A6"/>
        <w:insideH w:val="single" w:sz="8" w:space="0" w:color="3150A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1B2C5B"/>
        <w:bottom w:val="single" w:sz="8" w:space="0" w:color="1B2C5B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1B2C5B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band1Vert">
      <w:tblPr/>
      <w:tcPr>
        <w:shd w:val="clear" w:color="auto" w:fill="B4C2E8"/>
      </w:tcPr>
    </w:tblStylePr>
    <w:tblStylePr w:type="band1Horz">
      <w:tblPr/>
      <w:tcPr>
        <w:shd w:val="clear" w:color="auto" w:fill="B4C2E8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1B2C5B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band1Vert">
      <w:tblPr/>
      <w:tcPr>
        <w:shd w:val="clear" w:color="auto" w:fill="B4C2E8"/>
      </w:tcPr>
    </w:tblStylePr>
    <w:tblStylePr w:type="band1Horz">
      <w:tblPr/>
      <w:tcPr>
        <w:shd w:val="clear" w:color="auto" w:fill="1B2C5B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2C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2C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2C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2C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Normal"/>
    <w:rsid w:val="00B867E2"/>
    <w:pPr>
      <w:spacing w:before="240" w:after="300"/>
    </w:pPr>
    <w:rPr>
      <w:rFonts w:eastAsia="Times New Roman" w:cs="Arial"/>
      <w:b/>
      <w:bCs/>
      <w:color w:val="004B8D"/>
      <w:sz w:val="56"/>
      <w:szCs w:val="56"/>
    </w:rPr>
  </w:style>
  <w:style w:type="paragraph" w:customStyle="1" w:styleId="Copy">
    <w:name w:val="Copy"/>
    <w:basedOn w:val="Normal"/>
    <w:rsid w:val="00B867E2"/>
    <w:pPr>
      <w:spacing w:after="120" w:line="300" w:lineRule="exact"/>
    </w:pPr>
    <w:rPr>
      <w:rFonts w:cs="Arial"/>
      <w:szCs w:val="24"/>
    </w:rPr>
  </w:style>
  <w:style w:type="character" w:customStyle="1" w:styleId="CharDefText">
    <w:name w:val="CharDefText"/>
    <w:uiPriority w:val="99"/>
    <w:rsid w:val="00B867E2"/>
    <w:rPr>
      <w:b/>
      <w:bCs w:val="0"/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1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="Times New Roman"/>
      <w:bCs/>
      <w:color w:val="1B2C5B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="Times New Roman"/>
      <w:b/>
      <w:bCs/>
      <w:color w:val="1B2C5B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="Times New Roman"/>
      <w:b/>
      <w:bCs/>
      <w:color w:val="1B2C5B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="Times New Roman" w:hAnsi="Arial" w:cs="Times New Roman"/>
      <w:bCs/>
      <w:color w:val="1B2C5B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="Times New Roman" w:hAnsi="Arial" w:cs="Times New Roman"/>
      <w:b/>
      <w:bCs/>
      <w:color w:val="1B2C5B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="Times New Roman" w:hAnsi="Arial" w:cs="Times New Roman"/>
      <w:b/>
      <w:bCs/>
      <w:color w:val="1B2C5B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qFormat/>
    <w:rsid w:val="00981DA1"/>
    <w:pPr>
      <w:spacing w:after="0" w:line="276" w:lineRule="auto"/>
      <w:outlineLvl w:val="9"/>
    </w:pPr>
    <w:rPr>
      <w:rFonts w:ascii="Cambria" w:hAnsi="Cambria"/>
      <w:color w:val="142044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142044"/>
    </w:rPr>
    <w:tblPr>
      <w:tblStyleRowBandSize w:val="1"/>
      <w:tblStyleColBandSize w:val="1"/>
      <w:tblBorders>
        <w:top w:val="single" w:sz="8" w:space="0" w:color="1B2C5B"/>
        <w:bottom w:val="single" w:sz="8" w:space="0" w:color="1B2C5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  <w:insideH w:val="single" w:sz="8" w:space="0" w:color="1B2C5B"/>
        <w:insideV w:val="single" w:sz="8" w:space="0" w:color="1B2C5B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1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  <w:shd w:val="clear" w:color="auto" w:fill="B4C2E8"/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  <w:shd w:val="clear" w:color="auto" w:fill="B4C2E8"/>
      </w:tcPr>
    </w:tblStylePr>
    <w:tblStylePr w:type="band2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1B2C5B"/>
          <w:left w:val="single" w:sz="8" w:space="0" w:color="1B2C5B"/>
          <w:bottom w:val="single" w:sz="1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  <w:shd w:val="clear" w:color="auto" w:fill="B4C2E8"/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  <w:shd w:val="clear" w:color="auto" w:fill="1B2C5B"/>
      </w:tcPr>
    </w:tblStylePr>
    <w:tblStylePr w:type="band2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3150A6"/>
        <w:left w:val="single" w:sz="8" w:space="0" w:color="3150A6"/>
        <w:bottom w:val="single" w:sz="8" w:space="0" w:color="3150A6"/>
        <w:right w:val="single" w:sz="8" w:space="0" w:color="3150A6"/>
        <w:insideH w:val="single" w:sz="8" w:space="0" w:color="3150A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1B2C5B"/>
        <w:bottom w:val="single" w:sz="8" w:space="0" w:color="1B2C5B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1B2C5B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band1Vert">
      <w:tblPr/>
      <w:tcPr>
        <w:shd w:val="clear" w:color="auto" w:fill="B4C2E8"/>
      </w:tcPr>
    </w:tblStylePr>
    <w:tblStylePr w:type="band1Horz">
      <w:tblPr/>
      <w:tcPr>
        <w:shd w:val="clear" w:color="auto" w:fill="B4C2E8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1B2C5B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band1Vert">
      <w:tblPr/>
      <w:tcPr>
        <w:shd w:val="clear" w:color="auto" w:fill="B4C2E8"/>
      </w:tcPr>
    </w:tblStylePr>
    <w:tblStylePr w:type="band1Horz">
      <w:tblPr/>
      <w:tcPr>
        <w:shd w:val="clear" w:color="auto" w:fill="1B2C5B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2C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2C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2C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2C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Normal"/>
    <w:rsid w:val="00B867E2"/>
    <w:pPr>
      <w:spacing w:before="240" w:after="300"/>
    </w:pPr>
    <w:rPr>
      <w:rFonts w:eastAsia="Times New Roman" w:cs="Arial"/>
      <w:b/>
      <w:bCs/>
      <w:color w:val="004B8D"/>
      <w:sz w:val="56"/>
      <w:szCs w:val="56"/>
    </w:rPr>
  </w:style>
  <w:style w:type="paragraph" w:customStyle="1" w:styleId="Copy">
    <w:name w:val="Copy"/>
    <w:basedOn w:val="Normal"/>
    <w:rsid w:val="00B867E2"/>
    <w:pPr>
      <w:spacing w:after="120" w:line="300" w:lineRule="exact"/>
    </w:pPr>
    <w:rPr>
      <w:rFonts w:cs="Arial"/>
      <w:szCs w:val="24"/>
    </w:rPr>
  </w:style>
  <w:style w:type="character" w:customStyle="1" w:styleId="CharDefText">
    <w:name w:val="CharDefText"/>
    <w:uiPriority w:val="99"/>
    <w:rsid w:val="00B867E2"/>
    <w:rPr>
      <w:b/>
      <w:bCs w:val="0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isons@health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wa.gov.au/pharmacy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740</Words>
  <Characters>4218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4949</CharactersWithSpaces>
  <SharedDoc>false</SharedDoc>
  <HLinks>
    <vt:vector size="6" baseType="variant">
      <vt:variant>
        <vt:i4>8257583</vt:i4>
      </vt:variant>
      <vt:variant>
        <vt:i4>0</vt:i4>
      </vt:variant>
      <vt:variant>
        <vt:i4>0</vt:i4>
      </vt:variant>
      <vt:variant>
        <vt:i4>5</vt:i4>
      </vt:variant>
      <vt:variant>
        <vt:lpwstr>http://www.health.wa.gov.au/s8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Gontaszewski, Susan</cp:lastModifiedBy>
  <cp:revision>10</cp:revision>
  <cp:lastPrinted>2017-06-29T07:16:00Z</cp:lastPrinted>
  <dcterms:created xsi:type="dcterms:W3CDTF">2017-02-15T03:04:00Z</dcterms:created>
  <dcterms:modified xsi:type="dcterms:W3CDTF">2017-08-02T03:48:00Z</dcterms:modified>
  <cp:contentStatus/>
</cp:coreProperties>
</file>